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9D" w:rsidRPr="005D689D" w:rsidRDefault="005D689D" w:rsidP="005D689D">
      <w:pPr>
        <w:bidi/>
        <w:spacing w:after="0" w:line="240" w:lineRule="auto"/>
        <w:rPr>
          <w:rFonts w:ascii="Tahoma" w:eastAsia="Times New Roman" w:hAnsi="Tahoma" w:cs="Tahoma"/>
          <w:sz w:val="18"/>
          <w:szCs w:val="18"/>
          <w:lang w:bidi="fa-IR"/>
        </w:rPr>
      </w:pPr>
      <w:r w:rsidRPr="005D689D">
        <w:rPr>
          <w:rFonts w:ascii="Tahoma" w:eastAsia="Times New Roman" w:hAnsi="Tahoma" w:cs="Tahoma"/>
          <w:sz w:val="18"/>
          <w:szCs w:val="18"/>
          <w:rtl/>
          <w:lang w:bidi="fa-IR"/>
        </w:rPr>
        <w:t xml:space="preserve">کاهش ارزش بازار پرتفوی صندوق ها در هفته گذشته </w:t>
      </w:r>
    </w:p>
    <w:p w:rsidR="005D689D" w:rsidRPr="005D689D" w:rsidRDefault="005D689D" w:rsidP="005D689D">
      <w:pPr>
        <w:bidi/>
        <w:spacing w:before="100" w:beforeAutospacing="1" w:after="100" w:afterAutospacing="1" w:line="240" w:lineRule="auto"/>
        <w:jc w:val="both"/>
        <w:rPr>
          <w:rFonts w:ascii="Tahoma" w:eastAsia="Times New Roman" w:hAnsi="Tahoma" w:cs="Tahoma"/>
          <w:sz w:val="18"/>
          <w:szCs w:val="18"/>
          <w:rtl/>
          <w:lang w:bidi="fa-IR"/>
        </w:rPr>
      </w:pPr>
      <w:r w:rsidRPr="005D689D">
        <w:rPr>
          <w:rFonts w:ascii="Tahoma" w:eastAsia="Times New Roman" w:hAnsi="Tahoma" w:cs="Tahoma"/>
          <w:sz w:val="18"/>
          <w:szCs w:val="18"/>
          <w:rtl/>
        </w:rPr>
        <w:t>آرمان-آتی:صندوق های سرمایه گذاری مشترک بیش از 54 درصد از پرتفوی شان را به سه صنعت محصولات شیمیایی، استخراج کانه های فلزی و فلزات اساسی اختصاص داده اند .سهم محصولات شیمیایی در پرتفوی صندوق ها 21.97 درصد در تاریخ 20 دی ماه ثبت شده است. استخراج کانه های فلزی 16.66 درصد  وفلزات اساسی 16.1 درصد از پرتفوی صندوق ها را به خود اختصاص داده اند. در هفته منتهی به 21 دی ماه ، صندوق های مشترک سرمایه گذاری ، سهم شان در صنایع محصولات شیمیایی، استخراج کانه های فلزی ، فلزات اساسی  را کاهش دادند. ارزش بازار این سه صنعت به ترتیب حدود 28، 21 و 22میلیارد ریال کاهش یافته است .</w:t>
      </w:r>
    </w:p>
    <w:p w:rsidR="005D689D" w:rsidRPr="005D689D" w:rsidRDefault="005D689D" w:rsidP="005D689D">
      <w:pPr>
        <w:bidi/>
        <w:spacing w:before="100" w:beforeAutospacing="1" w:after="100" w:afterAutospacing="1" w:line="240" w:lineRule="auto"/>
        <w:jc w:val="both"/>
        <w:rPr>
          <w:rFonts w:ascii="Tahoma" w:eastAsia="Times New Roman" w:hAnsi="Tahoma" w:cs="Tahoma"/>
          <w:sz w:val="18"/>
          <w:szCs w:val="18"/>
          <w:rtl/>
          <w:lang w:bidi="fa-IR"/>
        </w:rPr>
      </w:pPr>
      <w:r w:rsidRPr="005D689D">
        <w:rPr>
          <w:rFonts w:ascii="Tahoma" w:eastAsia="Times New Roman" w:hAnsi="Tahoma" w:cs="Tahoma"/>
          <w:sz w:val="18"/>
          <w:szCs w:val="18"/>
          <w:rtl/>
        </w:rPr>
        <w:t>حدود 75 درصد از پرتفوی صندوق های سرمایه گذاری در اختیار 5 صنعت ، محصولات شیمیایی، استخراج کانه های فلزی ، فلزات اساسی، شرکت های چند رشته ای و مخابرات است. ارزش بازار شرکت های چند رشته ای و مخابرات نیز طی هفته منتهی به 21 دی ماه به ترتیب حدود 6 و یک میلیارد ریال کاهش را مسبت به مدت مشابه هفته ماقبل متحمل شدند</w:t>
      </w:r>
      <w:r w:rsidR="00F959C9">
        <w:rPr>
          <w:rFonts w:ascii="Tahoma" w:eastAsia="Times New Roman" w:hAnsi="Tahoma" w:cs="Tahoma" w:hint="cs"/>
          <w:sz w:val="18"/>
          <w:szCs w:val="18"/>
          <w:rtl/>
          <w:lang w:bidi="fa-IR"/>
        </w:rPr>
        <w:t>.</w:t>
      </w:r>
    </w:p>
    <w:p w:rsidR="005D689D" w:rsidRPr="005D689D" w:rsidRDefault="005D689D" w:rsidP="005D689D">
      <w:pPr>
        <w:bidi/>
        <w:spacing w:before="100" w:beforeAutospacing="1" w:after="100" w:afterAutospacing="1" w:line="240" w:lineRule="auto"/>
        <w:jc w:val="both"/>
        <w:rPr>
          <w:rFonts w:ascii="Tahoma" w:eastAsia="Times New Roman" w:hAnsi="Tahoma" w:cs="Tahoma"/>
          <w:sz w:val="18"/>
          <w:szCs w:val="18"/>
          <w:rtl/>
          <w:lang w:bidi="fa-IR"/>
        </w:rPr>
      </w:pPr>
      <w:r w:rsidRPr="005D689D">
        <w:rPr>
          <w:rFonts w:ascii="Tahoma" w:eastAsia="Times New Roman" w:hAnsi="Tahoma" w:cs="Tahoma"/>
          <w:sz w:val="18"/>
          <w:szCs w:val="18"/>
          <w:rtl/>
        </w:rPr>
        <w:t>در هفته گذشته شاخص بورس کاهش یافت و بیشتر صنایع مهم و مطرح بازار با کاهش مواجه شدند واین  صنایع کوچک بودند که توانستند رشد را ثبت کنند.بررسی پرتفوی صندوق ها در هفته گذشته نشان می دهد که  مدیران صندوق ها، میزان سرمایه گذاری در سهام را کمی کاهش دادند و بر سرمایه گذاری در اوراق مشارکت افزودند.</w:t>
      </w:r>
    </w:p>
    <w:p w:rsidR="005D689D" w:rsidRPr="005D689D" w:rsidRDefault="005D689D" w:rsidP="005D689D">
      <w:pPr>
        <w:bidi/>
        <w:spacing w:before="100" w:beforeAutospacing="1" w:after="100" w:afterAutospacing="1" w:line="240" w:lineRule="auto"/>
        <w:jc w:val="both"/>
        <w:rPr>
          <w:rFonts w:ascii="Tahoma" w:eastAsia="Times New Roman" w:hAnsi="Tahoma" w:cs="Tahoma"/>
          <w:sz w:val="18"/>
          <w:szCs w:val="18"/>
          <w:rtl/>
          <w:lang w:bidi="fa-IR"/>
        </w:rPr>
      </w:pPr>
      <w:r w:rsidRPr="005D689D">
        <w:rPr>
          <w:rFonts w:ascii="Tahoma" w:eastAsia="Times New Roman" w:hAnsi="Tahoma" w:cs="Tahoma"/>
          <w:sz w:val="18"/>
          <w:szCs w:val="18"/>
          <w:rtl/>
        </w:rPr>
        <w:t>در هفته منتهی به 21 دی ماه ، مدیران صندوق های سرمایه گذاری مشترک، سهم صنایع فراورده های نفتی ،کک، سوخت هسته ای ،سرمایه گذاری ها،رایانه ،سیمان گچ آهک و مواد و محصولات دارویی را در پرتفوی صندوق ها افزایش دادند ولی سایر صنایع سهم شان درپرتفوی صندوق ها با کاهش مواجه شد.در بین صنایع فقط ارزش بازار خدمات فنی مهندسی و مواد و محصولاد دارویی با افزایش مواجه شد. خدمات فنی مهندسی  با وجود کاهش سهم اش در پرتفوی صندوق ها از 2.9 درصد در 13 دی ماه  به 2.49 درصد درچهارشنبه  20 دی ماه ،اما ارزش بازار این صنعت کمی با رشد مواجه شد. صنعت فراورده های نفتی ، کک ، سوخت هسته ای طی هفته مورد بررسی با افزایش سهم اش در پرتفوی صندوق ها از 8.67 به 9.55 درصد در پایان هفته گذشته ، ارزش بازار آن نیز در پرتفوی صندوق ها  با افزایش 1.8 میلیارد ریالی مواجه شد.</w:t>
      </w:r>
      <w:r w:rsidRPr="005D689D">
        <w:rPr>
          <w:rFonts w:ascii="Tahoma" w:eastAsia="Times New Roman" w:hAnsi="Tahoma" w:cs="Tahoma"/>
          <w:sz w:val="18"/>
          <w:szCs w:val="18"/>
          <w:lang w:bidi="fa-IR"/>
        </w:rPr>
        <w:t> </w:t>
      </w:r>
    </w:p>
    <w:tbl>
      <w:tblPr>
        <w:tblW w:w="0" w:type="auto"/>
        <w:tblCellMar>
          <w:left w:w="0" w:type="dxa"/>
          <w:right w:w="0" w:type="dxa"/>
        </w:tblCellMar>
        <w:tblLook w:val="04A0"/>
      </w:tblPr>
      <w:tblGrid>
        <w:gridCol w:w="1008"/>
        <w:gridCol w:w="1705"/>
        <w:gridCol w:w="1794"/>
        <w:gridCol w:w="873"/>
        <w:gridCol w:w="1223"/>
        <w:gridCol w:w="1385"/>
        <w:gridCol w:w="1588"/>
      </w:tblGrid>
      <w:tr w:rsidR="005D689D" w:rsidRPr="005D689D" w:rsidTr="005D689D">
        <w:tc>
          <w:tcPr>
            <w:tcW w:w="1008" w:type="dxa"/>
            <w:tcBorders>
              <w:top w:val="single" w:sz="8" w:space="0" w:color="7BA0CD"/>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تغییر ارزش بازار</w:t>
            </w:r>
          </w:p>
        </w:tc>
        <w:tc>
          <w:tcPr>
            <w:tcW w:w="1710"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*ارزش بازار صنعت در پرتفوی صندوق ها در 13 دی ماه</w:t>
            </w:r>
          </w:p>
        </w:tc>
        <w:tc>
          <w:tcPr>
            <w:tcW w:w="1800"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rPr>
                <w:rFonts w:ascii="Tahoma" w:eastAsia="Times New Roman" w:hAnsi="Tahoma" w:cs="Tahoma"/>
                <w:sz w:val="18"/>
                <w:szCs w:val="18"/>
                <w:lang w:bidi="fa-IR"/>
              </w:rPr>
            </w:pPr>
            <w:r w:rsidRPr="005D689D">
              <w:rPr>
                <w:rFonts w:ascii="Tahoma" w:eastAsia="Times New Roman" w:hAnsi="Tahoma" w:cs="Tahoma"/>
                <w:b/>
                <w:bCs/>
                <w:sz w:val="18"/>
                <w:szCs w:val="18"/>
                <w:rtl/>
              </w:rPr>
              <w:t>*ارزش بازار صنعت در پرتفوی صندوق ها در 21 دی ماه</w:t>
            </w:r>
          </w:p>
        </w:tc>
        <w:tc>
          <w:tcPr>
            <w:tcW w:w="842"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تغییر سهم صنعت</w:t>
            </w:r>
          </w:p>
        </w:tc>
        <w:tc>
          <w:tcPr>
            <w:tcW w:w="1228"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سهم صنعت در پرتفوی صندوق در تاریخ 12 دی ماه</w:t>
            </w:r>
          </w:p>
        </w:tc>
        <w:tc>
          <w:tcPr>
            <w:tcW w:w="1392"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سهم صنعت در پرتفوی در تاریخ 21 دی ماه</w:t>
            </w:r>
          </w:p>
        </w:tc>
        <w:tc>
          <w:tcPr>
            <w:tcW w:w="1596" w:type="dxa"/>
            <w:tcBorders>
              <w:top w:val="single" w:sz="8" w:space="0" w:color="7BA0CD"/>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lang w:bidi="fa-IR"/>
              </w:rPr>
              <w:t>نام صنعت</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606،946،541</w:t>
            </w:r>
          </w:p>
        </w:tc>
        <w:tc>
          <w:tcPr>
            <w:tcW w:w="180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885،961،513</w:t>
            </w:r>
          </w:p>
        </w:tc>
        <w:tc>
          <w:tcPr>
            <w:tcW w:w="84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22.2</w:t>
            </w:r>
          </w:p>
        </w:tc>
        <w:tc>
          <w:tcPr>
            <w:tcW w:w="139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21.97</w:t>
            </w:r>
          </w:p>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lang w:bidi="fa-IR"/>
              </w:rPr>
              <w:t> </w:t>
            </w:r>
          </w:p>
        </w:tc>
        <w:tc>
          <w:tcPr>
            <w:tcW w:w="1596"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محصولات شیمیایی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221،514،295</w:t>
            </w:r>
          </w:p>
        </w:tc>
        <w:tc>
          <w:tcPr>
            <w:tcW w:w="180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044،535،276</w:t>
            </w:r>
          </w:p>
        </w:tc>
        <w:tc>
          <w:tcPr>
            <w:tcW w:w="84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16.75</w:t>
            </w:r>
          </w:p>
        </w:tc>
        <w:tc>
          <w:tcPr>
            <w:tcW w:w="139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16.66</w:t>
            </w:r>
          </w:p>
        </w:tc>
        <w:tc>
          <w:tcPr>
            <w:tcW w:w="159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استخراج کانه های فلزی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148،831،331</w:t>
            </w:r>
          </w:p>
        </w:tc>
        <w:tc>
          <w:tcPr>
            <w:tcW w:w="180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160،705،309</w:t>
            </w:r>
          </w:p>
        </w:tc>
        <w:tc>
          <w:tcPr>
            <w:tcW w:w="84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lang w:bidi="fa-IR"/>
              </w:rPr>
              <w:t> </w:t>
            </w:r>
          </w:p>
        </w:tc>
        <w:tc>
          <w:tcPr>
            <w:tcW w:w="122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16.22</w:t>
            </w:r>
          </w:p>
        </w:tc>
        <w:tc>
          <w:tcPr>
            <w:tcW w:w="139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16.1</w:t>
            </w:r>
          </w:p>
        </w:tc>
        <w:tc>
          <w:tcPr>
            <w:tcW w:w="1596"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فلزات اساسی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367،266،153</w:t>
            </w:r>
          </w:p>
        </w:tc>
        <w:tc>
          <w:tcPr>
            <w:tcW w:w="180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402،260،147</w:t>
            </w:r>
          </w:p>
        </w:tc>
        <w:tc>
          <w:tcPr>
            <w:tcW w:w="84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10.88</w:t>
            </w:r>
          </w:p>
        </w:tc>
        <w:tc>
          <w:tcPr>
            <w:tcW w:w="139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10.63</w:t>
            </w:r>
          </w:p>
        </w:tc>
        <w:tc>
          <w:tcPr>
            <w:tcW w:w="159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شرکت های چند رشته ای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افزایشی</w:t>
            </w:r>
          </w:p>
        </w:tc>
        <w:tc>
          <w:tcPr>
            <w:tcW w:w="171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377،232،62</w:t>
            </w:r>
          </w:p>
        </w:tc>
        <w:tc>
          <w:tcPr>
            <w:tcW w:w="180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130،109،64</w:t>
            </w:r>
          </w:p>
        </w:tc>
        <w:tc>
          <w:tcPr>
            <w:tcW w:w="84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افزایشی</w:t>
            </w:r>
          </w:p>
        </w:tc>
        <w:tc>
          <w:tcPr>
            <w:tcW w:w="122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8.67</w:t>
            </w:r>
          </w:p>
        </w:tc>
        <w:tc>
          <w:tcPr>
            <w:tcW w:w="139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9.55</w:t>
            </w:r>
          </w:p>
        </w:tc>
        <w:tc>
          <w:tcPr>
            <w:tcW w:w="1596"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فراورده های نفتی،کک و سوخت هسته ای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684،331،140</w:t>
            </w:r>
          </w:p>
        </w:tc>
        <w:tc>
          <w:tcPr>
            <w:tcW w:w="180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751،271،139</w:t>
            </w:r>
          </w:p>
        </w:tc>
        <w:tc>
          <w:tcPr>
            <w:tcW w:w="84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6.76</w:t>
            </w:r>
          </w:p>
        </w:tc>
        <w:tc>
          <w:tcPr>
            <w:tcW w:w="139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6.58</w:t>
            </w:r>
          </w:p>
        </w:tc>
        <w:tc>
          <w:tcPr>
            <w:tcW w:w="159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مخابرات</w:t>
            </w:r>
          </w:p>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lang w:bidi="fa-IR"/>
              </w:rPr>
              <w:t> </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686،789،34</w:t>
            </w:r>
          </w:p>
        </w:tc>
        <w:tc>
          <w:tcPr>
            <w:tcW w:w="180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576،551،31</w:t>
            </w:r>
          </w:p>
        </w:tc>
        <w:tc>
          <w:tcPr>
            <w:tcW w:w="84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6.01</w:t>
            </w:r>
          </w:p>
        </w:tc>
        <w:tc>
          <w:tcPr>
            <w:tcW w:w="139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5.99</w:t>
            </w:r>
          </w:p>
        </w:tc>
        <w:tc>
          <w:tcPr>
            <w:tcW w:w="1596"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استخراج نفت و گاز</w:t>
            </w:r>
          </w:p>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lang w:bidi="fa-IR"/>
              </w:rPr>
              <w:t> </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487،837،28</w:t>
            </w:r>
          </w:p>
        </w:tc>
        <w:tc>
          <w:tcPr>
            <w:tcW w:w="180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595،460،27</w:t>
            </w:r>
          </w:p>
        </w:tc>
        <w:tc>
          <w:tcPr>
            <w:tcW w:w="84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5.43</w:t>
            </w:r>
          </w:p>
        </w:tc>
        <w:tc>
          <w:tcPr>
            <w:tcW w:w="139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5.12</w:t>
            </w:r>
          </w:p>
        </w:tc>
        <w:tc>
          <w:tcPr>
            <w:tcW w:w="159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خودرو</w:t>
            </w:r>
          </w:p>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lang w:bidi="fa-IR"/>
              </w:rPr>
              <w:t> </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810،323،19</w:t>
            </w:r>
          </w:p>
        </w:tc>
        <w:tc>
          <w:tcPr>
            <w:tcW w:w="180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560،574،18</w:t>
            </w:r>
          </w:p>
        </w:tc>
        <w:tc>
          <w:tcPr>
            <w:tcW w:w="84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افزایشی</w:t>
            </w:r>
          </w:p>
        </w:tc>
        <w:tc>
          <w:tcPr>
            <w:tcW w:w="122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4.82</w:t>
            </w:r>
          </w:p>
        </w:tc>
        <w:tc>
          <w:tcPr>
            <w:tcW w:w="139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5.09</w:t>
            </w:r>
          </w:p>
        </w:tc>
        <w:tc>
          <w:tcPr>
            <w:tcW w:w="1596"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سرمایه گذاری ها</w:t>
            </w:r>
          </w:p>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lang w:bidi="fa-IR"/>
              </w:rPr>
              <w:lastRenderedPageBreak/>
              <w:t> </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lastRenderedPageBreak/>
              <w:t>کاهشی</w:t>
            </w:r>
          </w:p>
        </w:tc>
        <w:tc>
          <w:tcPr>
            <w:tcW w:w="171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938،092،23</w:t>
            </w:r>
          </w:p>
        </w:tc>
        <w:tc>
          <w:tcPr>
            <w:tcW w:w="180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687،481،20</w:t>
            </w:r>
          </w:p>
        </w:tc>
        <w:tc>
          <w:tcPr>
            <w:tcW w:w="84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4.92</w:t>
            </w:r>
          </w:p>
        </w:tc>
        <w:tc>
          <w:tcPr>
            <w:tcW w:w="139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4.44</w:t>
            </w:r>
          </w:p>
        </w:tc>
        <w:tc>
          <w:tcPr>
            <w:tcW w:w="159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محصولات غذایی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722،501،13</w:t>
            </w:r>
          </w:p>
        </w:tc>
        <w:tc>
          <w:tcPr>
            <w:tcW w:w="180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273،228،13</w:t>
            </w:r>
          </w:p>
        </w:tc>
        <w:tc>
          <w:tcPr>
            <w:tcW w:w="84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4.55</w:t>
            </w:r>
          </w:p>
        </w:tc>
        <w:tc>
          <w:tcPr>
            <w:tcW w:w="139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4.38</w:t>
            </w:r>
          </w:p>
        </w:tc>
        <w:tc>
          <w:tcPr>
            <w:tcW w:w="1596"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سایر واسطه گری مالی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881،384،48</w:t>
            </w:r>
          </w:p>
        </w:tc>
        <w:tc>
          <w:tcPr>
            <w:tcW w:w="1800"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565،086،48</w:t>
            </w:r>
          </w:p>
        </w:tc>
        <w:tc>
          <w:tcPr>
            <w:tcW w:w="84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4.18</w:t>
            </w:r>
          </w:p>
        </w:tc>
        <w:tc>
          <w:tcPr>
            <w:tcW w:w="1392"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4.06</w:t>
            </w:r>
          </w:p>
        </w:tc>
        <w:tc>
          <w:tcPr>
            <w:tcW w:w="1596"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بانک ها و موسسات اعتباری</w:t>
            </w:r>
          </w:p>
        </w:tc>
      </w:tr>
      <w:tr w:rsidR="005D689D" w:rsidRPr="005D689D" w:rsidTr="005D689D">
        <w:tc>
          <w:tcPr>
            <w:tcW w:w="1008" w:type="dxa"/>
            <w:tcBorders>
              <w:top w:val="nil"/>
              <w:left w:val="single" w:sz="8" w:space="0" w:color="7BA0CD"/>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b/>
                <w:bCs/>
                <w:sz w:val="18"/>
                <w:szCs w:val="18"/>
                <w:rtl/>
              </w:rPr>
              <w:t>کاهشی</w:t>
            </w:r>
          </w:p>
        </w:tc>
        <w:tc>
          <w:tcPr>
            <w:tcW w:w="171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699،776،45</w:t>
            </w:r>
          </w:p>
        </w:tc>
        <w:tc>
          <w:tcPr>
            <w:tcW w:w="1800"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232،912،41</w:t>
            </w:r>
          </w:p>
        </w:tc>
        <w:tc>
          <w:tcPr>
            <w:tcW w:w="84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کاهشی</w:t>
            </w:r>
          </w:p>
        </w:tc>
        <w:tc>
          <w:tcPr>
            <w:tcW w:w="1228"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3.9</w:t>
            </w:r>
          </w:p>
        </w:tc>
        <w:tc>
          <w:tcPr>
            <w:tcW w:w="1392"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shd w:val="clear" w:color="auto" w:fill="FFFF00"/>
                <w:rtl/>
              </w:rPr>
              <w:t>4.04</w:t>
            </w:r>
          </w:p>
        </w:tc>
        <w:tc>
          <w:tcPr>
            <w:tcW w:w="1596" w:type="dxa"/>
            <w:tcBorders>
              <w:top w:val="nil"/>
              <w:left w:val="nil"/>
              <w:bottom w:val="single" w:sz="8" w:space="0" w:color="7BA0CD"/>
              <w:right w:val="single" w:sz="8" w:space="0" w:color="7BA0CD"/>
            </w:tcBorders>
            <w:shd w:val="clear" w:color="auto" w:fill="A7BFDE"/>
            <w:tcMar>
              <w:top w:w="0" w:type="dxa"/>
              <w:left w:w="108" w:type="dxa"/>
              <w:bottom w:w="0" w:type="dxa"/>
              <w:right w:w="108" w:type="dxa"/>
            </w:tcMar>
            <w:hideMark/>
          </w:tcPr>
          <w:p w:rsidR="005D689D" w:rsidRPr="005D689D" w:rsidRDefault="005D689D" w:rsidP="005D689D">
            <w:pPr>
              <w:bidi/>
              <w:spacing w:before="100" w:beforeAutospacing="1" w:after="0" w:line="240" w:lineRule="auto"/>
              <w:jc w:val="center"/>
              <w:rPr>
                <w:rFonts w:ascii="Tahoma" w:eastAsia="Times New Roman" w:hAnsi="Tahoma" w:cs="Tahoma"/>
                <w:sz w:val="18"/>
                <w:szCs w:val="18"/>
                <w:lang w:bidi="fa-IR"/>
              </w:rPr>
            </w:pPr>
            <w:r w:rsidRPr="005D689D">
              <w:rPr>
                <w:rFonts w:ascii="Tahoma" w:eastAsia="Times New Roman" w:hAnsi="Tahoma" w:cs="Tahoma"/>
                <w:sz w:val="18"/>
                <w:szCs w:val="18"/>
                <w:rtl/>
              </w:rPr>
              <w:t>سیمان، گچ، آهک</w:t>
            </w:r>
          </w:p>
        </w:tc>
      </w:tr>
    </w:tbl>
    <w:p w:rsidR="005D689D" w:rsidRPr="005D689D" w:rsidRDefault="005D689D" w:rsidP="005D689D">
      <w:pPr>
        <w:spacing w:before="100" w:beforeAutospacing="1" w:after="100" w:afterAutospacing="1" w:line="240" w:lineRule="auto"/>
        <w:jc w:val="right"/>
        <w:rPr>
          <w:rFonts w:ascii="Tahoma" w:eastAsia="Times New Roman" w:hAnsi="Tahoma" w:cs="Tahoma"/>
          <w:sz w:val="18"/>
          <w:szCs w:val="18"/>
          <w:lang w:bidi="fa-IR"/>
        </w:rPr>
      </w:pPr>
      <w:r w:rsidRPr="005D689D">
        <w:rPr>
          <w:rFonts w:ascii="Tahoma" w:eastAsia="Times New Roman" w:hAnsi="Tahoma" w:cs="Tahoma"/>
          <w:sz w:val="18"/>
          <w:szCs w:val="18"/>
          <w:rtl/>
        </w:rPr>
        <w:t>*واحد ارزش بازار به هزار ریال است </w:t>
      </w:r>
    </w:p>
    <w:p w:rsidR="00012FB4" w:rsidRPr="005D689D" w:rsidRDefault="00012FB4" w:rsidP="005D689D">
      <w:pPr>
        <w:bidi/>
        <w:rPr>
          <w:rFonts w:ascii="Tahoma" w:hAnsi="Tahoma" w:cs="Tahoma"/>
          <w:sz w:val="18"/>
          <w:szCs w:val="18"/>
        </w:rPr>
      </w:pPr>
    </w:p>
    <w:sectPr w:rsidR="00012FB4" w:rsidRPr="005D689D" w:rsidSect="006D16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5D689D"/>
    <w:rsid w:val="00003129"/>
    <w:rsid w:val="00003BE0"/>
    <w:rsid w:val="00005D79"/>
    <w:rsid w:val="00012FB4"/>
    <w:rsid w:val="00013618"/>
    <w:rsid w:val="000166ED"/>
    <w:rsid w:val="000177B5"/>
    <w:rsid w:val="00021DC2"/>
    <w:rsid w:val="00034085"/>
    <w:rsid w:val="000408C5"/>
    <w:rsid w:val="0004131C"/>
    <w:rsid w:val="000532DA"/>
    <w:rsid w:val="0006055A"/>
    <w:rsid w:val="00060B27"/>
    <w:rsid w:val="000816FD"/>
    <w:rsid w:val="00081F58"/>
    <w:rsid w:val="00093153"/>
    <w:rsid w:val="000A1C68"/>
    <w:rsid w:val="000B7658"/>
    <w:rsid w:val="000C39E5"/>
    <w:rsid w:val="000C3D37"/>
    <w:rsid w:val="000C5DD5"/>
    <w:rsid w:val="000C730E"/>
    <w:rsid w:val="000D46FE"/>
    <w:rsid w:val="000D72B7"/>
    <w:rsid w:val="000E5783"/>
    <w:rsid w:val="000E5E92"/>
    <w:rsid w:val="000E600C"/>
    <w:rsid w:val="000E7459"/>
    <w:rsid w:val="000E7627"/>
    <w:rsid w:val="000F1833"/>
    <w:rsid w:val="000F6452"/>
    <w:rsid w:val="000F6653"/>
    <w:rsid w:val="00102444"/>
    <w:rsid w:val="001033F1"/>
    <w:rsid w:val="00107D6F"/>
    <w:rsid w:val="00110C82"/>
    <w:rsid w:val="00114C6A"/>
    <w:rsid w:val="001329CC"/>
    <w:rsid w:val="0013411F"/>
    <w:rsid w:val="0014771D"/>
    <w:rsid w:val="00151588"/>
    <w:rsid w:val="00160B03"/>
    <w:rsid w:val="00162569"/>
    <w:rsid w:val="00162B1F"/>
    <w:rsid w:val="001649CE"/>
    <w:rsid w:val="00167EB3"/>
    <w:rsid w:val="00176AD9"/>
    <w:rsid w:val="00176E95"/>
    <w:rsid w:val="001838F3"/>
    <w:rsid w:val="00183B5D"/>
    <w:rsid w:val="00185A04"/>
    <w:rsid w:val="00194C38"/>
    <w:rsid w:val="00197D92"/>
    <w:rsid w:val="001A083D"/>
    <w:rsid w:val="001A256A"/>
    <w:rsid w:val="001A2AF4"/>
    <w:rsid w:val="001A4465"/>
    <w:rsid w:val="001A754A"/>
    <w:rsid w:val="001B0046"/>
    <w:rsid w:val="001B55EC"/>
    <w:rsid w:val="001B6E2A"/>
    <w:rsid w:val="001B71F0"/>
    <w:rsid w:val="001C4307"/>
    <w:rsid w:val="001C46F7"/>
    <w:rsid w:val="001E7043"/>
    <w:rsid w:val="001E76C4"/>
    <w:rsid w:val="001F5C44"/>
    <w:rsid w:val="001F5F6C"/>
    <w:rsid w:val="001F6E17"/>
    <w:rsid w:val="00201566"/>
    <w:rsid w:val="00205DD0"/>
    <w:rsid w:val="0021481A"/>
    <w:rsid w:val="002177FA"/>
    <w:rsid w:val="00217BFD"/>
    <w:rsid w:val="00222322"/>
    <w:rsid w:val="002257C9"/>
    <w:rsid w:val="00235E6C"/>
    <w:rsid w:val="00236F64"/>
    <w:rsid w:val="00237838"/>
    <w:rsid w:val="002508CC"/>
    <w:rsid w:val="00270824"/>
    <w:rsid w:val="00274658"/>
    <w:rsid w:val="00277337"/>
    <w:rsid w:val="00280E05"/>
    <w:rsid w:val="0028254A"/>
    <w:rsid w:val="00282A8B"/>
    <w:rsid w:val="00284439"/>
    <w:rsid w:val="0029252D"/>
    <w:rsid w:val="002968F5"/>
    <w:rsid w:val="00296C54"/>
    <w:rsid w:val="002A15F2"/>
    <w:rsid w:val="002A206B"/>
    <w:rsid w:val="002B2C9C"/>
    <w:rsid w:val="002B5C7C"/>
    <w:rsid w:val="002B6B76"/>
    <w:rsid w:val="002C221E"/>
    <w:rsid w:val="002C2B40"/>
    <w:rsid w:val="002C2F1C"/>
    <w:rsid w:val="002C3821"/>
    <w:rsid w:val="002D410B"/>
    <w:rsid w:val="002E037B"/>
    <w:rsid w:val="002E333F"/>
    <w:rsid w:val="002F09D1"/>
    <w:rsid w:val="002F6339"/>
    <w:rsid w:val="00301D33"/>
    <w:rsid w:val="003021D1"/>
    <w:rsid w:val="0031025B"/>
    <w:rsid w:val="00311A86"/>
    <w:rsid w:val="00320112"/>
    <w:rsid w:val="00326C5B"/>
    <w:rsid w:val="00341314"/>
    <w:rsid w:val="00344DDB"/>
    <w:rsid w:val="0034709E"/>
    <w:rsid w:val="0035629C"/>
    <w:rsid w:val="00360E2C"/>
    <w:rsid w:val="00361EA8"/>
    <w:rsid w:val="00364B31"/>
    <w:rsid w:val="003736D1"/>
    <w:rsid w:val="003964DD"/>
    <w:rsid w:val="0039659A"/>
    <w:rsid w:val="00397773"/>
    <w:rsid w:val="003A6BB2"/>
    <w:rsid w:val="003B27BB"/>
    <w:rsid w:val="003B6284"/>
    <w:rsid w:val="003D35E4"/>
    <w:rsid w:val="003E2A58"/>
    <w:rsid w:val="003F0E21"/>
    <w:rsid w:val="003F0FB7"/>
    <w:rsid w:val="003F337E"/>
    <w:rsid w:val="003F3390"/>
    <w:rsid w:val="003F7860"/>
    <w:rsid w:val="004162DF"/>
    <w:rsid w:val="00423AA6"/>
    <w:rsid w:val="004310B0"/>
    <w:rsid w:val="004368CE"/>
    <w:rsid w:val="004418D3"/>
    <w:rsid w:val="0045060E"/>
    <w:rsid w:val="00453B86"/>
    <w:rsid w:val="0045538B"/>
    <w:rsid w:val="0045574E"/>
    <w:rsid w:val="0045634E"/>
    <w:rsid w:val="004564F4"/>
    <w:rsid w:val="00462B18"/>
    <w:rsid w:val="00472E17"/>
    <w:rsid w:val="0047542A"/>
    <w:rsid w:val="00477C07"/>
    <w:rsid w:val="00480793"/>
    <w:rsid w:val="00480F21"/>
    <w:rsid w:val="00484B24"/>
    <w:rsid w:val="004912A1"/>
    <w:rsid w:val="004938CD"/>
    <w:rsid w:val="00497821"/>
    <w:rsid w:val="004A3921"/>
    <w:rsid w:val="004A4232"/>
    <w:rsid w:val="004A5277"/>
    <w:rsid w:val="004B03B0"/>
    <w:rsid w:val="004C5D6D"/>
    <w:rsid w:val="004C7CD8"/>
    <w:rsid w:val="004D51BE"/>
    <w:rsid w:val="004F2CF4"/>
    <w:rsid w:val="005024F1"/>
    <w:rsid w:val="00505835"/>
    <w:rsid w:val="005076FA"/>
    <w:rsid w:val="0051006A"/>
    <w:rsid w:val="00514213"/>
    <w:rsid w:val="00515ADB"/>
    <w:rsid w:val="00522850"/>
    <w:rsid w:val="0052307E"/>
    <w:rsid w:val="005259AC"/>
    <w:rsid w:val="00526F3D"/>
    <w:rsid w:val="005275B5"/>
    <w:rsid w:val="00533F8F"/>
    <w:rsid w:val="00542F03"/>
    <w:rsid w:val="00545EA6"/>
    <w:rsid w:val="00547BF0"/>
    <w:rsid w:val="00555572"/>
    <w:rsid w:val="005573FE"/>
    <w:rsid w:val="00563A02"/>
    <w:rsid w:val="00566A8F"/>
    <w:rsid w:val="00572637"/>
    <w:rsid w:val="0057427A"/>
    <w:rsid w:val="0057509C"/>
    <w:rsid w:val="0058012C"/>
    <w:rsid w:val="00594C86"/>
    <w:rsid w:val="005953AB"/>
    <w:rsid w:val="005A5687"/>
    <w:rsid w:val="005A78CD"/>
    <w:rsid w:val="005B1019"/>
    <w:rsid w:val="005B2696"/>
    <w:rsid w:val="005D4E0C"/>
    <w:rsid w:val="005D689D"/>
    <w:rsid w:val="005E3660"/>
    <w:rsid w:val="005E59C5"/>
    <w:rsid w:val="005F3BF6"/>
    <w:rsid w:val="005F618A"/>
    <w:rsid w:val="00601CC2"/>
    <w:rsid w:val="00602DB5"/>
    <w:rsid w:val="00613A0A"/>
    <w:rsid w:val="006301C4"/>
    <w:rsid w:val="006352DF"/>
    <w:rsid w:val="00635EE8"/>
    <w:rsid w:val="006605EF"/>
    <w:rsid w:val="00663025"/>
    <w:rsid w:val="006763BA"/>
    <w:rsid w:val="00686C0A"/>
    <w:rsid w:val="006879E8"/>
    <w:rsid w:val="006940FE"/>
    <w:rsid w:val="00694F6C"/>
    <w:rsid w:val="006A1F98"/>
    <w:rsid w:val="006A2577"/>
    <w:rsid w:val="006B1132"/>
    <w:rsid w:val="006B7A89"/>
    <w:rsid w:val="006C1C10"/>
    <w:rsid w:val="006C6B13"/>
    <w:rsid w:val="006D11E6"/>
    <w:rsid w:val="006D16F1"/>
    <w:rsid w:val="006D48F6"/>
    <w:rsid w:val="006E4008"/>
    <w:rsid w:val="006E46B6"/>
    <w:rsid w:val="006F2A01"/>
    <w:rsid w:val="006F4059"/>
    <w:rsid w:val="006F7BE3"/>
    <w:rsid w:val="00702723"/>
    <w:rsid w:val="0071317E"/>
    <w:rsid w:val="00716F3B"/>
    <w:rsid w:val="00717C19"/>
    <w:rsid w:val="0072190A"/>
    <w:rsid w:val="00750225"/>
    <w:rsid w:val="00757AD3"/>
    <w:rsid w:val="00762515"/>
    <w:rsid w:val="00762984"/>
    <w:rsid w:val="00784050"/>
    <w:rsid w:val="00784D16"/>
    <w:rsid w:val="00785FCE"/>
    <w:rsid w:val="00786D6C"/>
    <w:rsid w:val="00792CC1"/>
    <w:rsid w:val="00795A57"/>
    <w:rsid w:val="00795C06"/>
    <w:rsid w:val="007A3DD0"/>
    <w:rsid w:val="007A4916"/>
    <w:rsid w:val="007B3F01"/>
    <w:rsid w:val="007C1A55"/>
    <w:rsid w:val="007C3A3C"/>
    <w:rsid w:val="007C4A91"/>
    <w:rsid w:val="007C5039"/>
    <w:rsid w:val="007C54C2"/>
    <w:rsid w:val="007D06D8"/>
    <w:rsid w:val="007F2A42"/>
    <w:rsid w:val="007F3030"/>
    <w:rsid w:val="007F3033"/>
    <w:rsid w:val="007F3A03"/>
    <w:rsid w:val="00804D9D"/>
    <w:rsid w:val="00810035"/>
    <w:rsid w:val="00814CD4"/>
    <w:rsid w:val="00817093"/>
    <w:rsid w:val="0081792E"/>
    <w:rsid w:val="008214BE"/>
    <w:rsid w:val="0082642C"/>
    <w:rsid w:val="00827948"/>
    <w:rsid w:val="00833D4C"/>
    <w:rsid w:val="008340F4"/>
    <w:rsid w:val="008375CD"/>
    <w:rsid w:val="00840ACC"/>
    <w:rsid w:val="008504E1"/>
    <w:rsid w:val="0085220B"/>
    <w:rsid w:val="00863DC1"/>
    <w:rsid w:val="008672EB"/>
    <w:rsid w:val="0087067A"/>
    <w:rsid w:val="0087262F"/>
    <w:rsid w:val="00874692"/>
    <w:rsid w:val="00875029"/>
    <w:rsid w:val="00876B3A"/>
    <w:rsid w:val="008841F0"/>
    <w:rsid w:val="00896DD0"/>
    <w:rsid w:val="008B5501"/>
    <w:rsid w:val="008C21DC"/>
    <w:rsid w:val="008C46ED"/>
    <w:rsid w:val="008D056E"/>
    <w:rsid w:val="008E1062"/>
    <w:rsid w:val="008E3F68"/>
    <w:rsid w:val="008E5B50"/>
    <w:rsid w:val="008E6D82"/>
    <w:rsid w:val="008F485B"/>
    <w:rsid w:val="008F5556"/>
    <w:rsid w:val="009138E5"/>
    <w:rsid w:val="00922396"/>
    <w:rsid w:val="00924279"/>
    <w:rsid w:val="0093059E"/>
    <w:rsid w:val="00932653"/>
    <w:rsid w:val="009412E1"/>
    <w:rsid w:val="009420C9"/>
    <w:rsid w:val="0095171C"/>
    <w:rsid w:val="00954070"/>
    <w:rsid w:val="00955294"/>
    <w:rsid w:val="0095647E"/>
    <w:rsid w:val="00956B82"/>
    <w:rsid w:val="00962794"/>
    <w:rsid w:val="00963076"/>
    <w:rsid w:val="00972CA7"/>
    <w:rsid w:val="00975123"/>
    <w:rsid w:val="0098401E"/>
    <w:rsid w:val="0098460F"/>
    <w:rsid w:val="009927AA"/>
    <w:rsid w:val="009927AD"/>
    <w:rsid w:val="00995E5D"/>
    <w:rsid w:val="009B166B"/>
    <w:rsid w:val="009B6386"/>
    <w:rsid w:val="009B79C8"/>
    <w:rsid w:val="009C04A9"/>
    <w:rsid w:val="009C5B7B"/>
    <w:rsid w:val="009D656B"/>
    <w:rsid w:val="009E4320"/>
    <w:rsid w:val="009E540A"/>
    <w:rsid w:val="009F4891"/>
    <w:rsid w:val="009F4FBE"/>
    <w:rsid w:val="009F718E"/>
    <w:rsid w:val="00A00E3E"/>
    <w:rsid w:val="00A00FCC"/>
    <w:rsid w:val="00A049F4"/>
    <w:rsid w:val="00A074FD"/>
    <w:rsid w:val="00A15AEA"/>
    <w:rsid w:val="00A16DB2"/>
    <w:rsid w:val="00A20BB0"/>
    <w:rsid w:val="00A27168"/>
    <w:rsid w:val="00A327B4"/>
    <w:rsid w:val="00A32F57"/>
    <w:rsid w:val="00A40D88"/>
    <w:rsid w:val="00A43125"/>
    <w:rsid w:val="00A43470"/>
    <w:rsid w:val="00A46E35"/>
    <w:rsid w:val="00A528D3"/>
    <w:rsid w:val="00A57FD2"/>
    <w:rsid w:val="00A65514"/>
    <w:rsid w:val="00A705D4"/>
    <w:rsid w:val="00A766D8"/>
    <w:rsid w:val="00A768F7"/>
    <w:rsid w:val="00A81F74"/>
    <w:rsid w:val="00A85828"/>
    <w:rsid w:val="00A90321"/>
    <w:rsid w:val="00A94C83"/>
    <w:rsid w:val="00A94F80"/>
    <w:rsid w:val="00AA1BE7"/>
    <w:rsid w:val="00AA40C4"/>
    <w:rsid w:val="00AB2CED"/>
    <w:rsid w:val="00AB4EEA"/>
    <w:rsid w:val="00AC26AE"/>
    <w:rsid w:val="00AC372E"/>
    <w:rsid w:val="00AC6E81"/>
    <w:rsid w:val="00AD4E9B"/>
    <w:rsid w:val="00AE4F29"/>
    <w:rsid w:val="00AE7969"/>
    <w:rsid w:val="00B050F7"/>
    <w:rsid w:val="00B061D9"/>
    <w:rsid w:val="00B06E23"/>
    <w:rsid w:val="00B12DFD"/>
    <w:rsid w:val="00B22F7A"/>
    <w:rsid w:val="00B23887"/>
    <w:rsid w:val="00B23C1A"/>
    <w:rsid w:val="00B253CE"/>
    <w:rsid w:val="00B30043"/>
    <w:rsid w:val="00B3508E"/>
    <w:rsid w:val="00B4616E"/>
    <w:rsid w:val="00B51DD3"/>
    <w:rsid w:val="00B6025A"/>
    <w:rsid w:val="00B65270"/>
    <w:rsid w:val="00B70E6E"/>
    <w:rsid w:val="00B736FD"/>
    <w:rsid w:val="00B76CF8"/>
    <w:rsid w:val="00B77ED7"/>
    <w:rsid w:val="00B85334"/>
    <w:rsid w:val="00B92F3D"/>
    <w:rsid w:val="00B9795B"/>
    <w:rsid w:val="00BA1E9D"/>
    <w:rsid w:val="00BA6005"/>
    <w:rsid w:val="00BB3C3F"/>
    <w:rsid w:val="00BB7326"/>
    <w:rsid w:val="00BC4999"/>
    <w:rsid w:val="00BD0C93"/>
    <w:rsid w:val="00BD2950"/>
    <w:rsid w:val="00BE002E"/>
    <w:rsid w:val="00BE0795"/>
    <w:rsid w:val="00BF086A"/>
    <w:rsid w:val="00BF2481"/>
    <w:rsid w:val="00BF2F80"/>
    <w:rsid w:val="00C058DC"/>
    <w:rsid w:val="00C1677E"/>
    <w:rsid w:val="00C17525"/>
    <w:rsid w:val="00C3000A"/>
    <w:rsid w:val="00C326E1"/>
    <w:rsid w:val="00C327CF"/>
    <w:rsid w:val="00C33C0F"/>
    <w:rsid w:val="00C34592"/>
    <w:rsid w:val="00C40E9B"/>
    <w:rsid w:val="00C416DF"/>
    <w:rsid w:val="00C476A7"/>
    <w:rsid w:val="00C52F2D"/>
    <w:rsid w:val="00C55E45"/>
    <w:rsid w:val="00C63FF5"/>
    <w:rsid w:val="00C64D1D"/>
    <w:rsid w:val="00C65BE3"/>
    <w:rsid w:val="00C72FE3"/>
    <w:rsid w:val="00C8016B"/>
    <w:rsid w:val="00C83A7D"/>
    <w:rsid w:val="00C83AE2"/>
    <w:rsid w:val="00C86369"/>
    <w:rsid w:val="00C91ED8"/>
    <w:rsid w:val="00C93E2E"/>
    <w:rsid w:val="00C96D43"/>
    <w:rsid w:val="00CA6C81"/>
    <w:rsid w:val="00CB1CBE"/>
    <w:rsid w:val="00CB73F6"/>
    <w:rsid w:val="00CC2425"/>
    <w:rsid w:val="00CC7A5F"/>
    <w:rsid w:val="00CD7F2A"/>
    <w:rsid w:val="00CE0984"/>
    <w:rsid w:val="00CE4669"/>
    <w:rsid w:val="00CE5B4F"/>
    <w:rsid w:val="00CF0B45"/>
    <w:rsid w:val="00CF3376"/>
    <w:rsid w:val="00CF4B66"/>
    <w:rsid w:val="00CF644B"/>
    <w:rsid w:val="00D04F92"/>
    <w:rsid w:val="00D055FF"/>
    <w:rsid w:val="00D149A5"/>
    <w:rsid w:val="00D26875"/>
    <w:rsid w:val="00D37A89"/>
    <w:rsid w:val="00D4008C"/>
    <w:rsid w:val="00D41808"/>
    <w:rsid w:val="00D5097A"/>
    <w:rsid w:val="00D56B3D"/>
    <w:rsid w:val="00D631BD"/>
    <w:rsid w:val="00D709E5"/>
    <w:rsid w:val="00D732FA"/>
    <w:rsid w:val="00D74F46"/>
    <w:rsid w:val="00D77964"/>
    <w:rsid w:val="00D810A3"/>
    <w:rsid w:val="00D86060"/>
    <w:rsid w:val="00D87F6E"/>
    <w:rsid w:val="00DA2853"/>
    <w:rsid w:val="00DA6948"/>
    <w:rsid w:val="00DB3334"/>
    <w:rsid w:val="00DB6742"/>
    <w:rsid w:val="00DC18A8"/>
    <w:rsid w:val="00DC41FD"/>
    <w:rsid w:val="00DD1840"/>
    <w:rsid w:val="00DD202B"/>
    <w:rsid w:val="00DD2CD8"/>
    <w:rsid w:val="00DD5C84"/>
    <w:rsid w:val="00DD70C7"/>
    <w:rsid w:val="00DF42FE"/>
    <w:rsid w:val="00DF65A8"/>
    <w:rsid w:val="00E013ED"/>
    <w:rsid w:val="00E06665"/>
    <w:rsid w:val="00E259FF"/>
    <w:rsid w:val="00E30246"/>
    <w:rsid w:val="00E37588"/>
    <w:rsid w:val="00E454ED"/>
    <w:rsid w:val="00E47A5C"/>
    <w:rsid w:val="00E504CF"/>
    <w:rsid w:val="00E53F88"/>
    <w:rsid w:val="00E64014"/>
    <w:rsid w:val="00E87BD4"/>
    <w:rsid w:val="00E87E07"/>
    <w:rsid w:val="00E910EB"/>
    <w:rsid w:val="00E975E2"/>
    <w:rsid w:val="00EA1D5F"/>
    <w:rsid w:val="00EA2D57"/>
    <w:rsid w:val="00EA49D7"/>
    <w:rsid w:val="00EB368D"/>
    <w:rsid w:val="00EB6D1B"/>
    <w:rsid w:val="00ED7801"/>
    <w:rsid w:val="00EE2F0B"/>
    <w:rsid w:val="00EF61E4"/>
    <w:rsid w:val="00F06751"/>
    <w:rsid w:val="00F1142F"/>
    <w:rsid w:val="00F134FE"/>
    <w:rsid w:val="00F16EBA"/>
    <w:rsid w:val="00F317FF"/>
    <w:rsid w:val="00F4157F"/>
    <w:rsid w:val="00F43AA1"/>
    <w:rsid w:val="00F43E9B"/>
    <w:rsid w:val="00F44D1A"/>
    <w:rsid w:val="00F5141B"/>
    <w:rsid w:val="00F518CA"/>
    <w:rsid w:val="00F531FB"/>
    <w:rsid w:val="00F625D5"/>
    <w:rsid w:val="00F65477"/>
    <w:rsid w:val="00F66006"/>
    <w:rsid w:val="00F75A83"/>
    <w:rsid w:val="00F75E1B"/>
    <w:rsid w:val="00F854A1"/>
    <w:rsid w:val="00F910DA"/>
    <w:rsid w:val="00F9285C"/>
    <w:rsid w:val="00F92C41"/>
    <w:rsid w:val="00F959C9"/>
    <w:rsid w:val="00FA10FD"/>
    <w:rsid w:val="00FC57CD"/>
    <w:rsid w:val="00FC7254"/>
    <w:rsid w:val="00FD13DB"/>
    <w:rsid w:val="00FD2B7F"/>
    <w:rsid w:val="00FD5503"/>
    <w:rsid w:val="00FE423F"/>
    <w:rsid w:val="00FF2552"/>
    <w:rsid w:val="00FF5EB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689D"/>
    <w:rPr>
      <w:b/>
      <w:bCs/>
    </w:rPr>
  </w:style>
</w:styles>
</file>

<file path=word/webSettings.xml><?xml version="1.0" encoding="utf-8"?>
<w:webSettings xmlns:r="http://schemas.openxmlformats.org/officeDocument/2006/relationships" xmlns:w="http://schemas.openxmlformats.org/wordprocessingml/2006/main">
  <w:divs>
    <w:div w:id="911500831">
      <w:bodyDiv w:val="1"/>
      <w:marLeft w:val="0"/>
      <w:marRight w:val="0"/>
      <w:marTop w:val="0"/>
      <w:marBottom w:val="0"/>
      <w:divBdr>
        <w:top w:val="none" w:sz="0" w:space="0" w:color="auto"/>
        <w:left w:val="none" w:sz="0" w:space="0" w:color="auto"/>
        <w:bottom w:val="none" w:sz="0" w:space="0" w:color="auto"/>
        <w:right w:val="none" w:sz="0" w:space="0" w:color="auto"/>
      </w:divBdr>
      <w:divsChild>
        <w:div w:id="1219317100">
          <w:marLeft w:val="0"/>
          <w:marRight w:val="0"/>
          <w:marTop w:val="0"/>
          <w:marBottom w:val="0"/>
          <w:divBdr>
            <w:top w:val="none" w:sz="0" w:space="0" w:color="auto"/>
            <w:left w:val="none" w:sz="0" w:space="0" w:color="auto"/>
            <w:bottom w:val="none" w:sz="0" w:space="0" w:color="auto"/>
            <w:right w:val="none" w:sz="0" w:space="0" w:color="auto"/>
          </w:divBdr>
          <w:divsChild>
            <w:div w:id="1625772293">
              <w:marLeft w:val="0"/>
              <w:marRight w:val="0"/>
              <w:marTop w:val="0"/>
              <w:marBottom w:val="0"/>
              <w:divBdr>
                <w:top w:val="none" w:sz="0" w:space="0" w:color="auto"/>
                <w:left w:val="none" w:sz="0" w:space="0" w:color="auto"/>
                <w:bottom w:val="none" w:sz="0" w:space="0" w:color="auto"/>
                <w:right w:val="none" w:sz="0" w:space="0" w:color="auto"/>
              </w:divBdr>
            </w:div>
          </w:divsChild>
        </w:div>
        <w:div w:id="121156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2013-01-13T08:22:00Z</dcterms:created>
  <dcterms:modified xsi:type="dcterms:W3CDTF">2013-01-14T06:30:00Z</dcterms:modified>
</cp:coreProperties>
</file>